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68" w:rsidRPr="00FC5868" w:rsidRDefault="00FC5868" w:rsidP="00FC5868">
      <w:pPr>
        <w:pStyle w:val="Title"/>
      </w:pPr>
      <w:r w:rsidRPr="00FC5868">
        <w:t>How to Implement User friendly GST with No Returns</w:t>
      </w:r>
    </w:p>
    <w:p w:rsidR="00FC5868" w:rsidRDefault="00FC5868" w:rsidP="00FC5868">
      <w:pPr>
        <w:pStyle w:val="Heading1"/>
      </w:pPr>
      <w:r w:rsidRPr="00FC5868">
        <w:t>How to Implement GST as User friendly, with “No Returns” &amp; “Hassel Free Business &amp;</w:t>
      </w:r>
      <w:r>
        <w:t xml:space="preserve"> </w:t>
      </w:r>
      <w:r w:rsidRPr="00FC5868">
        <w:t>Service” – IT – Strategy</w:t>
      </w:r>
    </w:p>
    <w:p w:rsidR="00FC5868" w:rsidRPr="00FC5868" w:rsidRDefault="00FC5868" w:rsidP="00FC5868"/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This article and the model suggested is only an attempt to find out, whether it is feasible to have a national portal to do all the Business activities.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In my opinion it is possible to do all the business activities through a dedicated national portal without any further compliance aspect of GST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To implement this, there is a need to have a change in the GST with reference to the aspects of purchase tax and also to change the destination</w:t>
      </w:r>
      <w:r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concept, which may not be feasible in all the types of business. Simple example is prepaid mobile recharge which is as low as Rs.10. In these</w:t>
      </w:r>
      <w:r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there is a need to change the destination concept. Otherwise I believe that it can be done on “online” or “offline”</w:t>
      </w:r>
      <w:r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with periodical uploading</w:t>
      </w:r>
      <w:r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to the Server with a utility.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Even if it takes a longer time to implement, it is better to have a total solution. It will go a long way in deducting fake invoices accompanying the</w:t>
      </w:r>
      <w:r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goods. Check posts can easily deduct, and malpractices can be reduced to a great extent.</w:t>
      </w:r>
    </w:p>
    <w:p w:rsidR="00FC5868" w:rsidRPr="00FC5868" w:rsidRDefault="00FC5868" w:rsidP="00FC5868">
      <w:pPr>
        <w:rPr>
          <w:rFonts w:cstheme="minorHAnsi"/>
          <w:b/>
          <w:color w:val="FF0000"/>
          <w:sz w:val="24"/>
          <w:szCs w:val="24"/>
        </w:rPr>
      </w:pPr>
      <w:r w:rsidRPr="00FC5868">
        <w:rPr>
          <w:rFonts w:cstheme="minorHAnsi"/>
          <w:b/>
          <w:color w:val="FF0000"/>
          <w:sz w:val="24"/>
          <w:szCs w:val="24"/>
        </w:rPr>
        <w:t>What are the main requirements?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I. National Portal with only 5 verticals.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What are they?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1. Registration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2. Invoice / billing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3. Purchases / Payment to Invoice / billing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4. Payment to Government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5. Return Preparation</w:t>
      </w:r>
    </w:p>
    <w:p w:rsidR="00FC5868" w:rsidRPr="00FC5868" w:rsidRDefault="00FC5868" w:rsidP="00FC5868">
      <w:pPr>
        <w:rPr>
          <w:rFonts w:cstheme="minorHAnsi"/>
          <w:b/>
          <w:color w:val="FF0000"/>
          <w:sz w:val="24"/>
          <w:szCs w:val="24"/>
        </w:rPr>
      </w:pPr>
      <w:r w:rsidRPr="00FC5868">
        <w:rPr>
          <w:rFonts w:cstheme="minorHAnsi"/>
          <w:b/>
          <w:color w:val="FF0000"/>
          <w:sz w:val="24"/>
          <w:szCs w:val="24"/>
        </w:rPr>
        <w:t>1. Registration&amp; Future amendments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lastRenderedPageBreak/>
        <w:t>a. Registration will be a common one time Registration with addition / deletion in future as and when there is a change in business</w:t>
      </w:r>
      <w:r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environment.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b. Everybody who comes within the ambit of the GST Act have to register themselves.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c. Covers all Organisations / Establishments / Traders / Manufacturers / Service providers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d. First entry will be to record their Income Tax PAN Number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e. All the data existing with the department will be appearing from the data bank.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f. Then there will be “Edit” to change the details like name, address etc., and proof has to be done through “everification”</w:t>
      </w:r>
      <w:r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methods</w:t>
      </w:r>
      <w:r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suggested by the Income tax department which is in vogue presently after the Return is submitted.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g. There will be a drop down menu to select the following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a) Covered under GST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b) Exempted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c) Covered under compounding levy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d) Covered under 0% category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h. GST Assessee must mandatorily submit one Mobile number exclusively for sending messages and their Postal pin code of their address.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i. Manufacturers / Traders / Service providers must give the details of their products / components / Service details etc., as required under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the Act with a drop down menu designed in the portal.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j. Selection from the drop down menu for the type of Sector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k. Every Assessee during Registration must select any one of the following from the drop down list in the portal.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i. Only Manufacturing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ii. Only trading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iv. Only service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v. Manufacturing &amp; Trading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lastRenderedPageBreak/>
        <w:t>v. Manufacturing &amp; Trading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vi. Manufacturing &amp; Service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vii. Manufacturing, trading &amp; Service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vii</w:t>
      </w:r>
      <w:r>
        <w:rPr>
          <w:rFonts w:cstheme="minorHAnsi"/>
          <w:sz w:val="24"/>
          <w:szCs w:val="24"/>
        </w:rPr>
        <w:t>i</w:t>
      </w:r>
      <w:r w:rsidRPr="00FC5868">
        <w:rPr>
          <w:rFonts w:cstheme="minorHAnsi"/>
          <w:sz w:val="24"/>
          <w:szCs w:val="24"/>
        </w:rPr>
        <w:t>. Trading &amp; Service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ix</w:t>
      </w:r>
      <w:r w:rsidRPr="00FC5868">
        <w:rPr>
          <w:rFonts w:cstheme="minorHAnsi"/>
          <w:sz w:val="24"/>
          <w:szCs w:val="24"/>
        </w:rPr>
        <w:t>. Others – Exempt under GST – Selection will be from drop down list.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l. Every Assessee under GST Act must select the States from the drop down list where he is likely to “Supply / Service”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If the assessee is not aware of the exact State name, he can enter the postal pin code for selection.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m. List of items intended for manufacture / trade can be done by selecting the appropriate selection under HSN code.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n. Type(s) of Service(s) can be selected from the drop down list.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o. Branches with reference to postal pin codes – ex: 001 – 600001, 002 – 500001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p. Once the above mentioned steps are over, the submission of the registration will be over by clicking the “Submit” button.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The Portal will automatically create the Registration form for CGST / SGST. It will also create State wise Registration details by “Pre fixing” the</w:t>
      </w:r>
      <w:r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State code with Income Tax PAN. For CGST it will be – INAPRPSS9123C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Ex: TNAPRSC9123C – Tamilnadu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APAPRSC9123C – Andhra Pradesh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KRAPRPS9123C – Karnataka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TLAPRPS9123C – Telangana etc.,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An Exclusive: “email</w:t>
      </w:r>
      <w:r>
        <w:rPr>
          <w:rFonts w:cstheme="minorHAnsi"/>
          <w:sz w:val="24"/>
          <w:szCs w:val="24"/>
        </w:rPr>
        <w:t xml:space="preserve">  </w:t>
      </w:r>
      <w:r w:rsidRPr="00FC5868">
        <w:rPr>
          <w:rFonts w:cstheme="minorHAnsi"/>
          <w:sz w:val="24"/>
          <w:szCs w:val="24"/>
        </w:rPr>
        <w:t>id” will be provided by the portal after registration for communication between the Assessee and the Respective. Email</w:t>
      </w:r>
      <w:r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id can be generated based on the PAN number of CGST &amp; SGST.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Assessees can down load State wise Registration details.</w:t>
      </w:r>
      <w:r w:rsidR="003F0B19"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Masters that are required are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1. Income Tax PAN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lastRenderedPageBreak/>
        <w:t>2. Postal pin code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3. HSN code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4. States &amp; Union Territory linked to postal pin code.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5. Identified types of Services</w:t>
      </w:r>
    </w:p>
    <w:p w:rsidR="00FC5868" w:rsidRPr="00560F39" w:rsidRDefault="00FC5868" w:rsidP="00FC5868">
      <w:pPr>
        <w:rPr>
          <w:rFonts w:cstheme="minorHAnsi"/>
          <w:b/>
          <w:color w:val="FF0000"/>
          <w:sz w:val="24"/>
          <w:szCs w:val="24"/>
        </w:rPr>
      </w:pPr>
      <w:r w:rsidRPr="00560F39">
        <w:rPr>
          <w:rFonts w:cstheme="minorHAnsi"/>
          <w:b/>
          <w:color w:val="FF0000"/>
          <w:sz w:val="24"/>
          <w:szCs w:val="24"/>
        </w:rPr>
        <w:t>2. Invoice / billing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It is a common fact that a sale to one person is a purchase to another man.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So when a Sales / Supply of Service entry is made in the National portal (Online / Offline), based on the “Key fields” given below, together</w:t>
      </w:r>
      <w:r w:rsidR="00560F39"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with usual invoice details, System determines the type of transaction as to whether it is a local sale/service or an Interstate Sale /</w:t>
      </w:r>
      <w:r w:rsidR="00560F39"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service. HSN Code helps to pick</w:t>
      </w:r>
      <w:r w:rsidR="00560F39"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up</w:t>
      </w:r>
      <w:r w:rsidR="00560F39"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the rate based on the destination state using the key field – Destination postal pin code.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Now every detail of the Invoice is auto populated to the Purchaser / Service receiver’s ledger based on the CGST / SGST / IGST PAN based</w:t>
      </w:r>
      <w:r w:rsidR="00560F39"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number.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In the case of Export / Deemed export, the telephone country code can be used as a key field to determine, whether it is an export sale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Seller / Supplier’s / Service Provider’s – IT PAN based GST / SGST Number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Purchaser / Service Receiver’s – IT PAN based GST / SGST Number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Postal pin code of Seller / Supplier of Service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Postal pin code of Purchaser / Receiver of Service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HSN code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Type of Service Code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Codes for IGST / CGST / SGST / Export can be fixed as “I” “C” “S” &amp; “T” for the user to understand the type of transaction.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Edit module to amend the data at a future date will be restricted only to value and quantity for the purpose of “Debit / Credit” generation.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“Icon” to generate the Invoices to accompany the goods with the transporter.</w:t>
      </w:r>
    </w:p>
    <w:p w:rsidR="00FC5868" w:rsidRPr="00560F39" w:rsidRDefault="00FC5868" w:rsidP="00FC5868">
      <w:pPr>
        <w:rPr>
          <w:rFonts w:cstheme="minorHAnsi"/>
          <w:b/>
          <w:color w:val="FF0000"/>
          <w:sz w:val="24"/>
          <w:szCs w:val="24"/>
        </w:rPr>
      </w:pPr>
      <w:r w:rsidRPr="00560F39">
        <w:rPr>
          <w:rFonts w:cstheme="minorHAnsi"/>
          <w:b/>
          <w:color w:val="FF0000"/>
          <w:sz w:val="24"/>
          <w:szCs w:val="24"/>
        </w:rPr>
        <w:t>3. Purchases / Payment to Invoice / billing</w:t>
      </w:r>
    </w:p>
    <w:p w:rsidR="00FC5868" w:rsidRPr="00560F39" w:rsidRDefault="00FC5868" w:rsidP="00FC5868">
      <w:pPr>
        <w:rPr>
          <w:rFonts w:cstheme="minorHAnsi"/>
          <w:b/>
          <w:color w:val="FF0000"/>
          <w:sz w:val="24"/>
          <w:szCs w:val="24"/>
        </w:rPr>
      </w:pPr>
      <w:r w:rsidRPr="00FC5868">
        <w:rPr>
          <w:rFonts w:cstheme="minorHAnsi"/>
          <w:sz w:val="24"/>
          <w:szCs w:val="24"/>
        </w:rPr>
        <w:lastRenderedPageBreak/>
        <w:t xml:space="preserve">Then the third item is </w:t>
      </w:r>
      <w:r w:rsidRPr="00560F39">
        <w:rPr>
          <w:rFonts w:cstheme="minorHAnsi"/>
          <w:b/>
          <w:color w:val="FF0000"/>
          <w:sz w:val="24"/>
          <w:szCs w:val="24"/>
        </w:rPr>
        <w:t>“Purchases / Payment to Invoice / billing”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Provision in the national portal can be made for the payments to the Invoices auto populated in this vertical. Payment gateway can be designed</w:t>
      </w:r>
      <w:r w:rsidR="00560F39"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to effect the payment. In this way the Input credit can also be auto populated to Seller / Service provider as and when the payment is effected.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This vertical also include the payments to Supplier / Service providers where reverse charge is applicable. It also covers the transactions where</w:t>
      </w:r>
      <w:r w:rsidR="00560F39"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some of the GST assessees who come under the Compounding levy.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Separate fields are necessary to add the deductions for IT TDS and other deductions envisaged by the Purchaser / Service receiver.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Online payment is mandatory as most of the GST assessees are now familiar in using the online facility of the bank through payment gateway.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Edit module to amend the data at a future date will be restricted only to value and quantity for the purpose of “Debit / Credit” generation.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Single point taxation is suggested for basic necessities of Consumers to avoid compounding effect of prices.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Animal products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Vegetable products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Animal or Vegetable</w:t>
      </w:r>
    </w:p>
    <w:p w:rsidR="00FC5868" w:rsidRPr="00560F39" w:rsidRDefault="00FC5868" w:rsidP="00FC5868">
      <w:pPr>
        <w:rPr>
          <w:rFonts w:cstheme="minorHAnsi"/>
          <w:b/>
          <w:color w:val="FF0000"/>
          <w:sz w:val="24"/>
          <w:szCs w:val="24"/>
        </w:rPr>
      </w:pPr>
      <w:r w:rsidRPr="00560F39">
        <w:rPr>
          <w:rFonts w:cstheme="minorHAnsi"/>
          <w:b/>
          <w:color w:val="FF0000"/>
          <w:sz w:val="24"/>
          <w:szCs w:val="24"/>
        </w:rPr>
        <w:t>4. Payment to Government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Every 20th of the following month, from the national portal, the user can download the details with reference to the tax to be paid to the</w:t>
      </w:r>
      <w:r w:rsidR="00560F39">
        <w:rPr>
          <w:rFonts w:cstheme="minorHAnsi"/>
          <w:sz w:val="24"/>
          <w:szCs w:val="24"/>
        </w:rPr>
        <w:t xml:space="preserve"> </w:t>
      </w:r>
      <w:r w:rsidRPr="00FC5868">
        <w:rPr>
          <w:rFonts w:cstheme="minorHAnsi"/>
          <w:sz w:val="24"/>
          <w:szCs w:val="24"/>
        </w:rPr>
        <w:t>Government with a summary with reference to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Net CGST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Net SGST – State wise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Net IGST &amp;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√ IT – TDS</w:t>
      </w:r>
    </w:p>
    <w:p w:rsidR="00FC5868" w:rsidRPr="00FC5868" w:rsidRDefault="00FC5868" w:rsidP="00FC5868">
      <w:pPr>
        <w:rPr>
          <w:rFonts w:cstheme="minorHAnsi"/>
          <w:sz w:val="24"/>
          <w:szCs w:val="24"/>
        </w:rPr>
      </w:pPr>
      <w:r w:rsidRPr="00FC5868">
        <w:rPr>
          <w:rFonts w:cstheme="minorHAnsi"/>
          <w:sz w:val="24"/>
          <w:szCs w:val="24"/>
        </w:rPr>
        <w:t>And the same can be paid to the Concerned Governments through their bank account.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5. Return Preparation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lastRenderedPageBreak/>
        <w:t>National portal must facilitate the user to download the Returns.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Annexure I – Invoice format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 xml:space="preserve">1. Portal Invoice Reference No. </w:t>
      </w:r>
      <w:r w:rsidRPr="00623A84">
        <w:rPr>
          <w:rFonts w:cstheme="minorHAnsi"/>
          <w:b/>
          <w:color w:val="C00000"/>
          <w:sz w:val="24"/>
          <w:szCs w:val="24"/>
        </w:rPr>
        <w:t>Auto generation &amp; key field “1718” – denotes F.Year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 xml:space="preserve">1718 </w:t>
      </w:r>
      <w:r w:rsidR="00623A84">
        <w:rPr>
          <w:rFonts w:cstheme="minorHAnsi"/>
          <w:b/>
          <w:sz w:val="24"/>
          <w:szCs w:val="24"/>
        </w:rPr>
        <w:t xml:space="preserve">     </w:t>
      </w:r>
      <w:r w:rsidRPr="00560F39">
        <w:rPr>
          <w:rFonts w:cstheme="minorHAnsi"/>
          <w:b/>
          <w:sz w:val="24"/>
          <w:szCs w:val="24"/>
        </w:rPr>
        <w:t>A_ _ _</w:t>
      </w:r>
      <w:r w:rsidR="00623A84">
        <w:rPr>
          <w:rFonts w:cstheme="minorHAnsi"/>
          <w:b/>
          <w:sz w:val="24"/>
          <w:szCs w:val="24"/>
        </w:rPr>
        <w:t xml:space="preserve">                </w:t>
      </w:r>
      <w:r w:rsidRPr="00560F39">
        <w:rPr>
          <w:rFonts w:cstheme="minorHAnsi"/>
          <w:b/>
          <w:sz w:val="24"/>
          <w:szCs w:val="24"/>
        </w:rPr>
        <w:t xml:space="preserve"> 000 </w:t>
      </w:r>
      <w:r w:rsidR="00623A84">
        <w:rPr>
          <w:rFonts w:cstheme="minorHAnsi"/>
          <w:b/>
          <w:sz w:val="24"/>
          <w:szCs w:val="24"/>
        </w:rPr>
        <w:t xml:space="preserve">       </w:t>
      </w:r>
      <w:r w:rsidRPr="00560F39">
        <w:rPr>
          <w:rFonts w:cstheme="minorHAnsi"/>
          <w:b/>
          <w:sz w:val="24"/>
          <w:szCs w:val="24"/>
        </w:rPr>
        <w:t xml:space="preserve">000 </w:t>
      </w:r>
      <w:r w:rsidR="00623A84">
        <w:rPr>
          <w:rFonts w:cstheme="minorHAnsi"/>
          <w:b/>
          <w:sz w:val="24"/>
          <w:szCs w:val="24"/>
        </w:rPr>
        <w:t xml:space="preserve">   </w:t>
      </w:r>
      <w:r w:rsidRPr="00560F39">
        <w:rPr>
          <w:rFonts w:cstheme="minorHAnsi"/>
          <w:b/>
          <w:sz w:val="24"/>
          <w:szCs w:val="24"/>
        </w:rPr>
        <w:t>000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2. GSTN Number of Seller / Service Provider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3. GSTN Number of Purchaser / Service Receiver ( Using “Find” or “Search” )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4. Origin Postal code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5. Seller / Service Providers’ – Origin Branch code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6. Destination Postal code / ISDN code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7. Seller / Service Providers’ – Customer Code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8. Seller / Service Providers’ Invoice number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9. Seller / Service Providers’ Invoice date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10. Seller / Service Providers’ Order reference number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11. Seller / Service Providers’ Order item number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12. Seller / Service Providers’ – Product description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13. HSN / SAC code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14. Unit code – “Number”, “Set”, “Pair”, “Mtr”, “Ltr”, “Sqm”, “CUM” etc.,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15. Quantity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16. Rate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17. Seller / Service providers’ Invoice Value – Taxable</w:t>
      </w:r>
    </w:p>
    <w:p w:rsidR="00FC5868" w:rsidRPr="00623A84" w:rsidRDefault="00FC5868" w:rsidP="00FC5868">
      <w:pPr>
        <w:rPr>
          <w:rFonts w:cstheme="minorHAnsi"/>
          <w:b/>
          <w:color w:val="C00000"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18. Tax Code – “I”, “C&amp;S”, “E”, “EX”, “CD” ( “I” denotes IGST ), (“C&amp;S” denotes CGST &amp; SGST), (“E” – Export), (“EX” Exempted),</w:t>
      </w:r>
      <w:r w:rsidR="00623A84">
        <w:rPr>
          <w:rFonts w:cstheme="minorHAnsi"/>
          <w:b/>
          <w:sz w:val="24"/>
          <w:szCs w:val="24"/>
        </w:rPr>
        <w:t xml:space="preserve"> </w:t>
      </w:r>
      <w:r w:rsidRPr="00560F39">
        <w:rPr>
          <w:rFonts w:cstheme="minorHAnsi"/>
          <w:b/>
          <w:sz w:val="24"/>
          <w:szCs w:val="24"/>
        </w:rPr>
        <w:t xml:space="preserve">(“CD” Compounding Duty) </w:t>
      </w:r>
      <w:r w:rsidRPr="00623A84">
        <w:rPr>
          <w:rFonts w:cstheme="minorHAnsi"/>
          <w:b/>
          <w:color w:val="C00000"/>
          <w:sz w:val="24"/>
          <w:szCs w:val="24"/>
        </w:rPr>
        <w:t>– Auto based on the Purchaser / Service Receiver’s GSTN Number.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19. IGST / or CGST &amp;SGSTRates – Auto ( Using the key fields Destination pin code, HSN/SAC)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20. Tax Value – IGST / CGST / SGST / Exempted / Export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lastRenderedPageBreak/>
        <w:t xml:space="preserve">21. Tax Summary at the end of the </w:t>
      </w:r>
      <w:r w:rsidRPr="00623A84">
        <w:rPr>
          <w:rFonts w:cstheme="minorHAnsi"/>
          <w:b/>
          <w:color w:val="C00000"/>
          <w:sz w:val="24"/>
          <w:szCs w:val="24"/>
        </w:rPr>
        <w:t>period</w:t>
      </w:r>
      <w:r w:rsidRPr="00560F39">
        <w:rPr>
          <w:rFonts w:cstheme="minorHAnsi"/>
          <w:b/>
          <w:sz w:val="24"/>
          <w:szCs w:val="24"/>
        </w:rPr>
        <w:t xml:space="preserve"> with value and tax for different categories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IGST Gross Turnover – IGST value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CGST Gross Turnover – CGST value</w:t>
      </w:r>
    </w:p>
    <w:p w:rsidR="00FC5868" w:rsidRPr="00623A84" w:rsidRDefault="00FC5868" w:rsidP="00FC5868">
      <w:pPr>
        <w:rPr>
          <w:rFonts w:cstheme="minorHAnsi"/>
          <w:b/>
          <w:color w:val="C00000"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 xml:space="preserve">SGST Gross Turnover – SGST value – </w:t>
      </w:r>
      <w:r w:rsidRPr="00623A84">
        <w:rPr>
          <w:rFonts w:cstheme="minorHAnsi"/>
          <w:b/>
          <w:color w:val="C00000"/>
          <w:sz w:val="24"/>
          <w:szCs w:val="24"/>
        </w:rPr>
        <w:t>State wise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18. Addition / Deletion of Above referred Gross turnover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19. IGST Net Turnover – IGST Value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CGST Net Turnover – CGST value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 xml:space="preserve">SGST Net Turnover – SGST value – </w:t>
      </w:r>
      <w:r w:rsidRPr="00623A84">
        <w:rPr>
          <w:rFonts w:cstheme="minorHAnsi"/>
          <w:b/>
          <w:color w:val="C00000"/>
          <w:sz w:val="24"/>
          <w:szCs w:val="24"/>
        </w:rPr>
        <w:t>State wise Before ITC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Export Turnover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Exempted Turnover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“0” rated Turnover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20. Edit Fields: Sl Nos 13,14 &amp; 15 only.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Annexure II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Purchases / Payment to Invoice / bill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The fields described in Annexure I will be auto populated with the Purchaser’s / Service receivers’ ledger with the following additional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fields for corrections / amendments if any.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1. Edit fields of Invoice at Serial Nos 14 &amp; 15. For shortages / excess if any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2. IT – TDS – Section Number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3. IT – TDS – Rate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4. IT – TDS – Value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5. IT – TDS – Amount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6. Additional fields for payment gateway and for populating the Bank’s transaction reference number namely – BSR code and</w:t>
      </w:r>
      <w:r w:rsidR="00623A84">
        <w:rPr>
          <w:rFonts w:cstheme="minorHAnsi"/>
          <w:b/>
          <w:sz w:val="24"/>
          <w:szCs w:val="24"/>
        </w:rPr>
        <w:t xml:space="preserve"> </w:t>
      </w:r>
      <w:r w:rsidRPr="00560F39">
        <w:rPr>
          <w:rFonts w:cstheme="minorHAnsi"/>
          <w:b/>
          <w:sz w:val="24"/>
          <w:szCs w:val="24"/>
        </w:rPr>
        <w:t>transaction reference number.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Based on Actual payment “CLR” flag will be attached for posting “Input credit” – ITC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lastRenderedPageBreak/>
        <w:t>Annexure III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Payment to Government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With the cutoff</w:t>
      </w:r>
      <w:r w:rsidR="003F0B19">
        <w:rPr>
          <w:rFonts w:cstheme="minorHAnsi"/>
          <w:b/>
          <w:sz w:val="24"/>
          <w:szCs w:val="24"/>
        </w:rPr>
        <w:t xml:space="preserve"> </w:t>
      </w:r>
      <w:r w:rsidRPr="00560F39">
        <w:rPr>
          <w:rFonts w:cstheme="minorHAnsi"/>
          <w:b/>
          <w:sz w:val="24"/>
          <w:szCs w:val="24"/>
        </w:rPr>
        <w:t>date of 20th of the following month Tax Summary report can be downloaded with the following details.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1. GSTN Number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2. Period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3. A) Gross Turn over – IGST – rate wise / CGST rate wise / SGST – State wise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4. A) ITC – IGST / ITC – CGST – / ITC – SGST – State wise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5. A) Net Turnover &amp; Tax payable for IGST / CGST / SGST – State wise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6. Payment gateway for making payment – Form will be auto populated for payment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7. Interest calculator can be embedded for delayed payment.</w:t>
      </w:r>
    </w:p>
    <w:p w:rsidR="00FC5868" w:rsidRDefault="00FC5868" w:rsidP="00FC5868">
      <w:pPr>
        <w:rPr>
          <w:rFonts w:cstheme="minorHAnsi"/>
          <w:b/>
          <w:sz w:val="24"/>
          <w:szCs w:val="24"/>
        </w:rPr>
      </w:pPr>
      <w:r w:rsidRPr="00560F39">
        <w:rPr>
          <w:rFonts w:cstheme="minorHAnsi"/>
          <w:b/>
          <w:sz w:val="24"/>
          <w:szCs w:val="24"/>
        </w:rPr>
        <w:t>Return Preparation – Suitable Return preparation utility can be incorporated in the portal for the Assessees to down load the</w:t>
      </w:r>
      <w:r w:rsidR="00560F39" w:rsidRPr="00560F39">
        <w:rPr>
          <w:rFonts w:cstheme="minorHAnsi"/>
          <w:b/>
          <w:sz w:val="24"/>
          <w:szCs w:val="24"/>
        </w:rPr>
        <w:t xml:space="preserve"> </w:t>
      </w:r>
      <w:r w:rsidRPr="00560F39">
        <w:rPr>
          <w:rFonts w:cstheme="minorHAnsi"/>
          <w:b/>
          <w:sz w:val="24"/>
          <w:szCs w:val="24"/>
        </w:rPr>
        <w:t>transactions with different sorting facility.</w:t>
      </w:r>
    </w:p>
    <w:p w:rsidR="006154B7" w:rsidRPr="006154B7" w:rsidRDefault="006154B7" w:rsidP="00FC5868">
      <w:pPr>
        <w:rPr>
          <w:rFonts w:cstheme="minorHAnsi"/>
          <w:sz w:val="24"/>
          <w:szCs w:val="24"/>
        </w:rPr>
      </w:pPr>
      <w:r w:rsidRPr="006154B7">
        <w:rPr>
          <w:rFonts w:cstheme="minorHAnsi"/>
          <w:sz w:val="24"/>
          <w:szCs w:val="24"/>
        </w:rPr>
        <w:t>Source courtesy:taxguru.in</w:t>
      </w:r>
    </w:p>
    <w:p w:rsidR="00FC5868" w:rsidRPr="00560F39" w:rsidRDefault="00FC5868" w:rsidP="00FC5868">
      <w:pPr>
        <w:rPr>
          <w:rFonts w:cstheme="minorHAnsi"/>
          <w:b/>
          <w:sz w:val="24"/>
          <w:szCs w:val="24"/>
        </w:rPr>
      </w:pPr>
    </w:p>
    <w:sectPr w:rsidR="00FC5868" w:rsidRPr="00560F39" w:rsidSect="0056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5868"/>
    <w:rsid w:val="003F0B19"/>
    <w:rsid w:val="00560F39"/>
    <w:rsid w:val="00567FD7"/>
    <w:rsid w:val="006154B7"/>
    <w:rsid w:val="00623A84"/>
    <w:rsid w:val="006B5986"/>
    <w:rsid w:val="00FC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D7"/>
  </w:style>
  <w:style w:type="paragraph" w:styleId="Heading1">
    <w:name w:val="heading 1"/>
    <w:basedOn w:val="Normal"/>
    <w:next w:val="Normal"/>
    <w:link w:val="Heading1Char"/>
    <w:uiPriority w:val="9"/>
    <w:qFormat/>
    <w:rsid w:val="00FC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8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SYS-4</dc:creator>
  <cp:lastModifiedBy>SYS-4</cp:lastModifiedBy>
  <cp:revision>2</cp:revision>
  <dcterms:created xsi:type="dcterms:W3CDTF">2016-09-19T04:54:00Z</dcterms:created>
  <dcterms:modified xsi:type="dcterms:W3CDTF">2016-09-19T06:03:00Z</dcterms:modified>
</cp:coreProperties>
</file>